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文件编号：WI-TE-002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图纸管理作业指导书</w:t>
      </w:r>
    </w:p>
    <w:p/>
    <w:p>
      <w:pPr>
        <w:pStyle w:val="Heading1"/>
      </w:pPr>
      <w:r>
        <w:t>1. 目的</w:t>
      </w:r>
    </w:p>
    <w:p>
      <w:r>
        <w:t>规范图纸管理。</w:t>
      </w:r>
    </w:p>
    <w:p/>
    <w:p>
      <w:pPr>
        <w:pStyle w:val="Heading1"/>
      </w:pPr>
      <w:r>
        <w:t>2. 范围</w:t>
      </w:r>
    </w:p>
    <w:p>
      <w:r>
        <w:t>适用于所有产品图纸。</w:t>
      </w:r>
    </w:p>
    <w:p/>
    <w:p>
      <w:pPr>
        <w:pStyle w:val="Heading1"/>
      </w:pPr>
      <w:r>
        <w:t>3. 图纸接收</w:t>
      </w:r>
    </w:p>
    <w:p>
      <w:pPr>
        <w:pStyle w:val="ListBullet"/>
      </w:pPr>
      <w:r>
        <w:t>登记编号</w:t>
      </w:r>
    </w:p>
    <w:p>
      <w:pPr>
        <w:pStyle w:val="ListBullet"/>
      </w:pPr>
      <w:r>
        <w:t>检查完整性</w:t>
      </w:r>
    </w:p>
    <w:p>
      <w:pPr>
        <w:pStyle w:val="ListBullet"/>
      </w:pPr>
      <w:r>
        <w:t>分类存放</w:t>
      </w:r>
    </w:p>
    <w:p/>
    <w:p>
      <w:pPr>
        <w:pStyle w:val="Heading1"/>
      </w:pPr>
      <w:r>
        <w:t>4. 图纸发放</w:t>
      </w:r>
    </w:p>
    <w:p>
      <w:pPr>
        <w:pStyle w:val="ListBullet"/>
      </w:pPr>
      <w:r>
        <w:t>按需要发放</w:t>
      </w:r>
    </w:p>
    <w:p>
      <w:pPr>
        <w:pStyle w:val="ListBullet"/>
      </w:pPr>
      <w:r>
        <w:t>登记签收</w:t>
      </w:r>
    </w:p>
    <w:p>
      <w:pPr>
        <w:pStyle w:val="ListBullet"/>
      </w:pPr>
      <w:r>
        <w:t>受控管理</w:t>
      </w:r>
    </w:p>
    <w:p/>
    <w:p>
      <w:pPr>
        <w:pStyle w:val="Heading1"/>
      </w:pPr>
      <w:r>
        <w:t>5. 图纸更改</w:t>
      </w:r>
    </w:p>
    <w:p>
      <w:pPr>
        <w:pStyle w:val="ListBullet"/>
      </w:pPr>
      <w:r>
        <w:t>申请更改</w:t>
      </w:r>
    </w:p>
    <w:p>
      <w:pPr>
        <w:pStyle w:val="ListBullet"/>
      </w:pPr>
      <w:r>
        <w:t>审批</w:t>
      </w:r>
    </w:p>
    <w:p>
      <w:pPr>
        <w:pStyle w:val="ListBullet"/>
      </w:pPr>
      <w:r>
        <w:t>换发新版</w:t>
      </w:r>
    </w:p>
    <w:p>
      <w:pPr>
        <w:pStyle w:val="ListBullet"/>
      </w:pPr>
      <w:r>
        <w:t>回收旧版</w:t>
      </w:r>
    </w:p>
    <w:p/>
    <w:p>
      <w:pPr>
        <w:pStyle w:val="Heading1"/>
      </w:pPr>
      <w:r>
        <w:t>6. 图纸保管</w:t>
      </w:r>
    </w:p>
    <w:p>
      <w:r>
        <w:t>防潮、防火、防盗。</w:t>
      </w:r>
    </w:p>
    <w:p/>
    <w:p>
      <w:pPr>
        <w:pStyle w:val="Heading1"/>
      </w:pPr>
      <w:r>
        <w:t>7. 记录</w:t>
      </w:r>
    </w:p>
    <w:p>
      <w:r>
        <w:t>填写《图纸管理台账》（FM-113）。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